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98"/>
        <w:gridCol w:w="1699"/>
        <w:gridCol w:w="1699"/>
        <w:gridCol w:w="1699"/>
        <w:gridCol w:w="1699"/>
      </w:tblGrid>
      <w:tr w:rsidR="008B1B0E" w:rsidRPr="008B1B0E" w:rsidTr="00F750C5">
        <w:tc>
          <w:tcPr>
            <w:tcW w:w="8494" w:type="dxa"/>
            <w:gridSpan w:val="5"/>
            <w:shd w:val="clear" w:color="auto" w:fill="8EAADB" w:themeFill="accent1" w:themeFillTint="99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rPr>
                <w:b/>
              </w:rPr>
              <w:t>Table 7.</w:t>
            </w:r>
            <w:r w:rsidRPr="008B1B0E">
              <w:t xml:space="preserve"> Methodological Quality of included prospective longitudinal studies (The Newcastle Ottawa Scale (NOS)).</w:t>
            </w:r>
          </w:p>
        </w:tc>
      </w:tr>
      <w:tr w:rsidR="008B1B0E" w:rsidRPr="008B1B0E" w:rsidTr="00F750C5">
        <w:tc>
          <w:tcPr>
            <w:tcW w:w="1698" w:type="dxa"/>
            <w:vMerge w:val="restart"/>
            <w:shd w:val="clear" w:color="auto" w:fill="D9E2F3" w:themeFill="accent1" w:themeFillTint="33"/>
          </w:tcPr>
          <w:p w:rsidR="008B1B0E" w:rsidRPr="008B1B0E" w:rsidRDefault="008B1B0E" w:rsidP="008B1B0E">
            <w:pPr>
              <w:spacing w:after="160" w:line="259" w:lineRule="auto"/>
              <w:rPr>
                <w:b/>
              </w:rPr>
            </w:pPr>
          </w:p>
          <w:p w:rsidR="008B1B0E" w:rsidRPr="008B1B0E" w:rsidRDefault="008B1B0E" w:rsidP="008B1B0E">
            <w:pPr>
              <w:spacing w:after="160" w:line="259" w:lineRule="auto"/>
              <w:rPr>
                <w:b/>
              </w:rPr>
            </w:pPr>
            <w:r w:rsidRPr="008B1B0E">
              <w:rPr>
                <w:b/>
              </w:rPr>
              <w:t>Study</w:t>
            </w:r>
          </w:p>
        </w:tc>
        <w:tc>
          <w:tcPr>
            <w:tcW w:w="6796" w:type="dxa"/>
            <w:gridSpan w:val="4"/>
            <w:shd w:val="clear" w:color="auto" w:fill="D9E2F3" w:themeFill="accent1" w:themeFillTint="33"/>
          </w:tcPr>
          <w:p w:rsidR="008B1B0E" w:rsidRPr="008B1B0E" w:rsidRDefault="008B1B0E" w:rsidP="008B1B0E">
            <w:pPr>
              <w:spacing w:after="160" w:line="259" w:lineRule="auto"/>
              <w:rPr>
                <w:b/>
              </w:rPr>
            </w:pPr>
            <w:r w:rsidRPr="008B1B0E">
              <w:rPr>
                <w:b/>
              </w:rPr>
              <w:t>Domain</w:t>
            </w:r>
          </w:p>
        </w:tc>
      </w:tr>
      <w:tr w:rsidR="008B1B0E" w:rsidRPr="008B1B0E" w:rsidTr="00F750C5">
        <w:tc>
          <w:tcPr>
            <w:tcW w:w="1698" w:type="dxa"/>
            <w:vMerge/>
            <w:shd w:val="clear" w:color="auto" w:fill="D9E2F3" w:themeFill="accent1" w:themeFillTint="33"/>
          </w:tcPr>
          <w:p w:rsidR="008B1B0E" w:rsidRPr="008B1B0E" w:rsidRDefault="008B1B0E" w:rsidP="008B1B0E">
            <w:pPr>
              <w:spacing w:after="160" w:line="259" w:lineRule="auto"/>
            </w:pPr>
          </w:p>
        </w:tc>
        <w:tc>
          <w:tcPr>
            <w:tcW w:w="1699" w:type="dxa"/>
            <w:shd w:val="clear" w:color="auto" w:fill="D9E2F3" w:themeFill="accent1" w:themeFillTint="33"/>
          </w:tcPr>
          <w:p w:rsidR="008B1B0E" w:rsidRPr="008B1B0E" w:rsidRDefault="008B1B0E" w:rsidP="008B1B0E">
            <w:pPr>
              <w:spacing w:after="160" w:line="259" w:lineRule="auto"/>
              <w:rPr>
                <w:b/>
              </w:rPr>
            </w:pPr>
            <w:r w:rsidRPr="008B1B0E">
              <w:rPr>
                <w:b/>
              </w:rPr>
              <w:t>Selection</w:t>
            </w:r>
          </w:p>
        </w:tc>
        <w:tc>
          <w:tcPr>
            <w:tcW w:w="1699" w:type="dxa"/>
            <w:shd w:val="clear" w:color="auto" w:fill="D9E2F3" w:themeFill="accent1" w:themeFillTint="33"/>
          </w:tcPr>
          <w:p w:rsidR="008B1B0E" w:rsidRPr="008B1B0E" w:rsidRDefault="008B1B0E" w:rsidP="008B1B0E">
            <w:pPr>
              <w:spacing w:after="160" w:line="259" w:lineRule="auto"/>
              <w:rPr>
                <w:b/>
              </w:rPr>
            </w:pPr>
            <w:r w:rsidRPr="008B1B0E">
              <w:rPr>
                <w:b/>
              </w:rPr>
              <w:t>Comparability</w:t>
            </w:r>
          </w:p>
        </w:tc>
        <w:tc>
          <w:tcPr>
            <w:tcW w:w="1699" w:type="dxa"/>
            <w:shd w:val="clear" w:color="auto" w:fill="D9E2F3" w:themeFill="accent1" w:themeFillTint="33"/>
          </w:tcPr>
          <w:p w:rsidR="008B1B0E" w:rsidRPr="008B1B0E" w:rsidRDefault="008B1B0E" w:rsidP="008B1B0E">
            <w:pPr>
              <w:spacing w:after="160" w:line="259" w:lineRule="auto"/>
              <w:rPr>
                <w:b/>
              </w:rPr>
            </w:pPr>
            <w:r w:rsidRPr="008B1B0E">
              <w:rPr>
                <w:b/>
              </w:rPr>
              <w:t>Exposure and Outcome</w:t>
            </w:r>
          </w:p>
        </w:tc>
        <w:tc>
          <w:tcPr>
            <w:tcW w:w="1699" w:type="dxa"/>
            <w:shd w:val="clear" w:color="auto" w:fill="D9E2F3" w:themeFill="accent1" w:themeFillTint="33"/>
          </w:tcPr>
          <w:p w:rsidR="008B1B0E" w:rsidRPr="008B1B0E" w:rsidRDefault="008B1B0E" w:rsidP="008B1B0E">
            <w:pPr>
              <w:spacing w:after="160" w:line="259" w:lineRule="auto"/>
              <w:rPr>
                <w:b/>
              </w:rPr>
            </w:pPr>
            <w:r w:rsidRPr="008B1B0E">
              <w:rPr>
                <w:b/>
              </w:rPr>
              <w:t>Total Score</w:t>
            </w:r>
          </w:p>
        </w:tc>
      </w:tr>
      <w:tr w:rsidR="008B1B0E" w:rsidRPr="008B1B0E" w:rsidTr="00F750C5">
        <w:tc>
          <w:tcPr>
            <w:tcW w:w="1698" w:type="dxa"/>
            <w:shd w:val="clear" w:color="auto" w:fill="D5DCE4" w:themeFill="text2" w:themeFillTint="33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Gillain et al [6</w:t>
            </w:r>
            <w:r w:rsidR="0020346F">
              <w:t>3</w:t>
            </w:r>
            <w:r w:rsidRPr="008B1B0E">
              <w:t>], 2015.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3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2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2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7/9</w:t>
            </w:r>
          </w:p>
        </w:tc>
      </w:tr>
      <w:tr w:rsidR="008B1B0E" w:rsidRPr="008B1B0E" w:rsidTr="00F750C5">
        <w:tc>
          <w:tcPr>
            <w:tcW w:w="1698" w:type="dxa"/>
            <w:shd w:val="clear" w:color="auto" w:fill="D5DCE4" w:themeFill="text2" w:themeFillTint="33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Hayes et al [6</w:t>
            </w:r>
            <w:r w:rsidR="0020346F">
              <w:t>4</w:t>
            </w:r>
            <w:r w:rsidRPr="008B1B0E">
              <w:t>], 2008.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3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1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2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6/9</w:t>
            </w:r>
          </w:p>
        </w:tc>
      </w:tr>
      <w:tr w:rsidR="008B1B0E" w:rsidRPr="008B1B0E" w:rsidTr="00F750C5">
        <w:tc>
          <w:tcPr>
            <w:tcW w:w="1698" w:type="dxa"/>
            <w:shd w:val="clear" w:color="auto" w:fill="D5DCE4" w:themeFill="text2" w:themeFillTint="33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Ansai et al [6</w:t>
            </w:r>
            <w:r w:rsidR="0020346F">
              <w:t>5</w:t>
            </w:r>
            <w:r w:rsidRPr="008B1B0E">
              <w:t>], 2018.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3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0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2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5/9</w:t>
            </w:r>
          </w:p>
        </w:tc>
      </w:tr>
      <w:tr w:rsidR="008B1B0E" w:rsidRPr="008B1B0E" w:rsidTr="00F750C5">
        <w:tc>
          <w:tcPr>
            <w:tcW w:w="1698" w:type="dxa"/>
            <w:shd w:val="clear" w:color="auto" w:fill="D5DCE4" w:themeFill="text2" w:themeFillTint="33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Dodge et al [6</w:t>
            </w:r>
            <w:r w:rsidR="0020346F">
              <w:t>7</w:t>
            </w:r>
            <w:r w:rsidRPr="008B1B0E">
              <w:t>], 2012.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3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1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2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6/9</w:t>
            </w:r>
          </w:p>
        </w:tc>
      </w:tr>
      <w:tr w:rsidR="008B1B0E" w:rsidRPr="008B1B0E" w:rsidTr="00F750C5">
        <w:tc>
          <w:tcPr>
            <w:tcW w:w="1698" w:type="dxa"/>
            <w:shd w:val="clear" w:color="auto" w:fill="D5DCE4" w:themeFill="text2" w:themeFillTint="33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Pieruccini- Faria et al [6</w:t>
            </w:r>
            <w:r w:rsidR="0020346F">
              <w:t>8</w:t>
            </w:r>
            <w:r w:rsidRPr="008B1B0E">
              <w:t>], 2018.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3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1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2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6/9</w:t>
            </w:r>
          </w:p>
        </w:tc>
      </w:tr>
      <w:tr w:rsidR="008B1B0E" w:rsidRPr="008B1B0E" w:rsidTr="00F750C5">
        <w:tc>
          <w:tcPr>
            <w:tcW w:w="1698" w:type="dxa"/>
            <w:shd w:val="clear" w:color="auto" w:fill="D5DCE4" w:themeFill="text2" w:themeFillTint="33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Montero-Odasso et al [6</w:t>
            </w:r>
            <w:r w:rsidR="0020346F">
              <w:t>9</w:t>
            </w:r>
            <w:r w:rsidRPr="008B1B0E">
              <w:t>], 2009.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3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2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2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7/9</w:t>
            </w:r>
          </w:p>
        </w:tc>
      </w:tr>
      <w:tr w:rsidR="008B1B0E" w:rsidRPr="008B1B0E" w:rsidTr="00F750C5">
        <w:tc>
          <w:tcPr>
            <w:tcW w:w="1698" w:type="dxa"/>
            <w:shd w:val="clear" w:color="auto" w:fill="D5DCE4" w:themeFill="text2" w:themeFillTint="33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Byun et al [</w:t>
            </w:r>
            <w:r w:rsidR="009F12A9">
              <w:t>70</w:t>
            </w:r>
            <w:r w:rsidRPr="008B1B0E">
              <w:t>], 2018.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3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2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2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7/9</w:t>
            </w:r>
          </w:p>
        </w:tc>
      </w:tr>
      <w:tr w:rsidR="008B1B0E" w:rsidRPr="008B1B0E" w:rsidTr="00F750C5">
        <w:tc>
          <w:tcPr>
            <w:tcW w:w="1698" w:type="dxa"/>
            <w:shd w:val="clear" w:color="auto" w:fill="D5DCE4" w:themeFill="text2" w:themeFillTint="33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Akl et al [7</w:t>
            </w:r>
            <w:r w:rsidR="009F12A9">
              <w:t>1</w:t>
            </w:r>
            <w:r w:rsidRPr="008B1B0E">
              <w:t>], 2015.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3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2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2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7/9</w:t>
            </w:r>
          </w:p>
        </w:tc>
      </w:tr>
      <w:tr w:rsidR="008B1B0E" w:rsidRPr="008B1B0E" w:rsidTr="00F750C5">
        <w:tc>
          <w:tcPr>
            <w:tcW w:w="1698" w:type="dxa"/>
            <w:shd w:val="clear" w:color="auto" w:fill="D5DCE4" w:themeFill="text2" w:themeFillTint="33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Akl et al [7</w:t>
            </w:r>
            <w:r w:rsidR="009F12A9">
              <w:t>2</w:t>
            </w:r>
            <w:r w:rsidRPr="008B1B0E">
              <w:t>], 2015.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3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2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2</w:t>
            </w:r>
          </w:p>
        </w:tc>
        <w:tc>
          <w:tcPr>
            <w:tcW w:w="1699" w:type="dxa"/>
          </w:tcPr>
          <w:p w:rsidR="008B1B0E" w:rsidRPr="008B1B0E" w:rsidRDefault="008B1B0E" w:rsidP="008B1B0E">
            <w:pPr>
              <w:spacing w:after="160" w:line="259" w:lineRule="auto"/>
            </w:pPr>
            <w:r w:rsidRPr="008B1B0E">
              <w:t>7/9</w:t>
            </w:r>
          </w:p>
        </w:tc>
      </w:tr>
      <w:tr w:rsidR="009F12A9" w:rsidRPr="008B1B0E" w:rsidTr="00F750C5">
        <w:tc>
          <w:tcPr>
            <w:tcW w:w="1698" w:type="dxa"/>
            <w:shd w:val="clear" w:color="auto" w:fill="D5DCE4" w:themeFill="text2" w:themeFillTint="33"/>
          </w:tcPr>
          <w:p w:rsidR="009F12A9" w:rsidRPr="008B1B0E" w:rsidRDefault="009F12A9" w:rsidP="008B1B0E">
            <w:r>
              <w:t>Buchman et al [73], 2019.</w:t>
            </w:r>
          </w:p>
        </w:tc>
        <w:tc>
          <w:tcPr>
            <w:tcW w:w="1699" w:type="dxa"/>
          </w:tcPr>
          <w:p w:rsidR="009F12A9" w:rsidRPr="008B1B0E" w:rsidRDefault="009F12A9" w:rsidP="008B1B0E">
            <w:r>
              <w:t>3</w:t>
            </w:r>
          </w:p>
        </w:tc>
        <w:tc>
          <w:tcPr>
            <w:tcW w:w="1699" w:type="dxa"/>
          </w:tcPr>
          <w:p w:rsidR="009F12A9" w:rsidRPr="008B1B0E" w:rsidRDefault="009F12A9" w:rsidP="008B1B0E">
            <w:r>
              <w:t>2</w:t>
            </w:r>
          </w:p>
        </w:tc>
        <w:tc>
          <w:tcPr>
            <w:tcW w:w="1699" w:type="dxa"/>
          </w:tcPr>
          <w:p w:rsidR="009F12A9" w:rsidRPr="008B1B0E" w:rsidRDefault="009F12A9" w:rsidP="008B1B0E">
            <w:r>
              <w:t>2</w:t>
            </w:r>
          </w:p>
        </w:tc>
        <w:tc>
          <w:tcPr>
            <w:tcW w:w="1699" w:type="dxa"/>
          </w:tcPr>
          <w:p w:rsidR="009F12A9" w:rsidRPr="008B1B0E" w:rsidRDefault="009F12A9" w:rsidP="008B1B0E">
            <w:r>
              <w:t>7/9</w:t>
            </w:r>
            <w:bookmarkStart w:id="0" w:name="_GoBack"/>
            <w:bookmarkEnd w:id="0"/>
          </w:p>
        </w:tc>
      </w:tr>
    </w:tbl>
    <w:p w:rsidR="008B1B0E" w:rsidRDefault="008B1B0E"/>
    <w:sectPr w:rsidR="008B1B0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B0E"/>
    <w:rsid w:val="0020346F"/>
    <w:rsid w:val="008B1B0E"/>
    <w:rsid w:val="00932BD8"/>
    <w:rsid w:val="009F12A9"/>
    <w:rsid w:val="00F7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082AA"/>
  <w15:chartTrackingRefBased/>
  <w15:docId w15:val="{18935DF4-B4E3-499F-AB18-BF45AAA85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B1B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86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Iván José Fuentes Abolafio</dc:creator>
  <cp:keywords/>
  <dc:description/>
  <cp:lastModifiedBy>Iván José Fuentes Abolafio</cp:lastModifiedBy>
  <cp:revision>4</cp:revision>
  <dcterms:created xsi:type="dcterms:W3CDTF">2019-07-31T07:11:00Z</dcterms:created>
  <dcterms:modified xsi:type="dcterms:W3CDTF">2020-02-28T10:54:00Z</dcterms:modified>
</cp:coreProperties>
</file>